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B4016" w14:textId="77777777" w:rsidR="00AD464F" w:rsidRDefault="00AD464F" w:rsidP="008D3A7F">
      <w:pPr>
        <w:jc w:val="both"/>
      </w:pPr>
    </w:p>
    <w:p w14:paraId="4595E4EA" w14:textId="41D4A7EE" w:rsidR="008D3A7F" w:rsidRPr="00806617" w:rsidRDefault="008D3A7F" w:rsidP="008D3A7F">
      <w:pPr>
        <w:jc w:val="both"/>
      </w:pPr>
      <w:r w:rsidRPr="008D3A7F">
        <w:t>El tiempo estimado total para completar todo el proceso, considerando los plazos establecidos, es de </w:t>
      </w:r>
      <w:r>
        <w:t>dos meses</w:t>
      </w:r>
      <w:r w:rsidRPr="008D3A7F">
        <w:t xml:space="preserve">. Esto incluye todas las etapas desde la presentación inicial del proyecto hasta </w:t>
      </w:r>
      <w:r w:rsidR="0066523A">
        <w:t>registro</w:t>
      </w:r>
      <w:r w:rsidRPr="008D3A7F">
        <w:t xml:space="preserve"> final, con tiempos de revisión y posibles modificaciones.</w:t>
      </w:r>
    </w:p>
    <w:p w14:paraId="6DEC76DA" w14:textId="77777777" w:rsidR="00806617" w:rsidRPr="00806617" w:rsidRDefault="00F66FE9" w:rsidP="00806617">
      <w:r>
        <w:rPr>
          <w:noProof/>
        </w:rPr>
      </w:r>
      <w:r w:rsidR="00F66FE9">
        <w:rPr>
          <w:noProof/>
        </w:rPr>
        <w:pict w14:anchorId="7AA2B05C">
          <v:rect id="_x0000_i1025" alt="" style="width:441.9pt;height:.05pt;mso-width-percent:0;mso-height-percent:0;mso-width-percent:0;mso-height-percent:0" o:hralign="center" o:hrstd="t" o:hr="t" fillcolor="#a0a0a0" stroked="f"/>
        </w:pict>
      </w:r>
    </w:p>
    <w:tbl>
      <w:tblPr>
        <w:tblStyle w:val="Tablaconcuadrculaclara"/>
        <w:tblW w:w="8784" w:type="dxa"/>
        <w:tblLayout w:type="fixed"/>
        <w:tblLook w:val="04A0" w:firstRow="1" w:lastRow="0" w:firstColumn="1" w:lastColumn="0" w:noHBand="0" w:noVBand="1"/>
      </w:tblPr>
      <w:tblGrid>
        <w:gridCol w:w="2830"/>
        <w:gridCol w:w="1843"/>
        <w:gridCol w:w="2126"/>
        <w:gridCol w:w="1985"/>
      </w:tblGrid>
      <w:tr w:rsidR="0084773D" w:rsidRPr="00806617" w14:paraId="3DCBFA0F" w14:textId="77777777" w:rsidTr="004F01FB">
        <w:tc>
          <w:tcPr>
            <w:tcW w:w="2830" w:type="dxa"/>
            <w:hideMark/>
          </w:tcPr>
          <w:p w14:paraId="239872C5" w14:textId="153A62A1" w:rsidR="0084773D" w:rsidRPr="00806617" w:rsidRDefault="002952A7" w:rsidP="00806617">
            <w:pPr>
              <w:spacing w:after="160" w:line="278" w:lineRule="auto"/>
              <w:rPr>
                <w:b/>
                <w:bCs/>
              </w:rPr>
            </w:pPr>
            <w:r>
              <w:rPr>
                <w:b/>
                <w:bCs/>
              </w:rPr>
              <w:t>Procedimiento</w:t>
            </w:r>
          </w:p>
        </w:tc>
        <w:tc>
          <w:tcPr>
            <w:tcW w:w="1843" w:type="dxa"/>
            <w:hideMark/>
          </w:tcPr>
          <w:p w14:paraId="2A77C6DC" w14:textId="77777777" w:rsidR="0084773D" w:rsidRPr="00806617" w:rsidRDefault="0084773D" w:rsidP="00806617">
            <w:pPr>
              <w:spacing w:after="160" w:line="278" w:lineRule="auto"/>
              <w:rPr>
                <w:b/>
                <w:bCs/>
              </w:rPr>
            </w:pPr>
            <w:r w:rsidRPr="00806617">
              <w:rPr>
                <w:b/>
                <w:bCs/>
              </w:rPr>
              <w:t>Entregable</w:t>
            </w:r>
          </w:p>
        </w:tc>
        <w:tc>
          <w:tcPr>
            <w:tcW w:w="2126" w:type="dxa"/>
            <w:hideMark/>
          </w:tcPr>
          <w:p w14:paraId="5014B0D9" w14:textId="77777777" w:rsidR="0084773D" w:rsidRPr="00806617" w:rsidRDefault="0084773D" w:rsidP="00806617">
            <w:pPr>
              <w:spacing w:after="160" w:line="278" w:lineRule="auto"/>
              <w:rPr>
                <w:b/>
                <w:bCs/>
              </w:rPr>
            </w:pPr>
            <w:r w:rsidRPr="00806617">
              <w:rPr>
                <w:b/>
                <w:bCs/>
              </w:rPr>
              <w:t>Plazos Sugeridos</w:t>
            </w:r>
          </w:p>
        </w:tc>
        <w:tc>
          <w:tcPr>
            <w:tcW w:w="1985" w:type="dxa"/>
            <w:hideMark/>
          </w:tcPr>
          <w:p w14:paraId="44D1673F" w14:textId="77777777" w:rsidR="0084773D" w:rsidRPr="00806617" w:rsidRDefault="0084773D" w:rsidP="00806617">
            <w:pPr>
              <w:spacing w:after="160" w:line="278" w:lineRule="auto"/>
              <w:rPr>
                <w:b/>
                <w:bCs/>
              </w:rPr>
            </w:pPr>
            <w:r w:rsidRPr="00806617">
              <w:rPr>
                <w:b/>
                <w:bCs/>
              </w:rPr>
              <w:t>Responsable</w:t>
            </w:r>
          </w:p>
        </w:tc>
      </w:tr>
      <w:tr w:rsidR="0084773D" w:rsidRPr="00806617" w14:paraId="34E0CC49" w14:textId="77777777" w:rsidTr="004F01FB">
        <w:tc>
          <w:tcPr>
            <w:tcW w:w="2830" w:type="dxa"/>
            <w:hideMark/>
          </w:tcPr>
          <w:p w14:paraId="15D7B6F1" w14:textId="225BCD94" w:rsidR="0084773D" w:rsidRPr="00806617" w:rsidRDefault="0084773D" w:rsidP="00806617">
            <w:pPr>
              <w:rPr>
                <w:b/>
                <w:bCs/>
              </w:rPr>
            </w:pPr>
            <w:r>
              <w:rPr>
                <w:b/>
                <w:bCs/>
              </w:rPr>
              <w:t>1</w:t>
            </w:r>
            <w:r w:rsidRPr="00806617">
              <w:rPr>
                <w:b/>
                <w:bCs/>
              </w:rPr>
              <w:t xml:space="preserve">. Completar Formulario Único de Proyecto COMIEX </w:t>
            </w:r>
            <w:r w:rsidR="00F927CA">
              <w:rPr>
                <w:b/>
                <w:bCs/>
              </w:rPr>
              <w:t>*</w:t>
            </w:r>
          </w:p>
          <w:p w14:paraId="170EE184" w14:textId="77777777" w:rsidR="0084773D" w:rsidRDefault="0084773D" w:rsidP="00806617">
            <w:pPr>
              <w:pStyle w:val="Prrafodelista"/>
              <w:rPr>
                <w:b/>
                <w:bCs/>
              </w:rPr>
            </w:pPr>
          </w:p>
          <w:p w14:paraId="5544E777" w14:textId="6EED0CBF" w:rsidR="0084773D" w:rsidRPr="00806617" w:rsidRDefault="0084773D" w:rsidP="00806617">
            <w:r w:rsidRPr="00806617">
              <w:t>(descargable en https://www.uned.ac.cr/ecen/comiex-ecen)</w:t>
            </w:r>
          </w:p>
        </w:tc>
        <w:tc>
          <w:tcPr>
            <w:tcW w:w="1843" w:type="dxa"/>
            <w:hideMark/>
          </w:tcPr>
          <w:p w14:paraId="4F70AE26" w14:textId="77777777" w:rsidR="0084773D" w:rsidRPr="00806617" w:rsidRDefault="0084773D" w:rsidP="00806617">
            <w:pPr>
              <w:spacing w:after="160" w:line="278" w:lineRule="auto"/>
            </w:pPr>
            <w:r w:rsidRPr="00806617">
              <w:t>Formulario completo</w:t>
            </w:r>
          </w:p>
        </w:tc>
        <w:tc>
          <w:tcPr>
            <w:tcW w:w="2126" w:type="dxa"/>
            <w:hideMark/>
          </w:tcPr>
          <w:p w14:paraId="30D5D38E" w14:textId="2830B54C" w:rsidR="0084773D" w:rsidRPr="00806617" w:rsidRDefault="0084773D" w:rsidP="00806617">
            <w:pPr>
              <w:spacing w:after="160" w:line="278" w:lineRule="auto"/>
            </w:pPr>
          </w:p>
        </w:tc>
        <w:tc>
          <w:tcPr>
            <w:tcW w:w="1985" w:type="dxa"/>
            <w:hideMark/>
          </w:tcPr>
          <w:p w14:paraId="1621A9B5" w14:textId="77777777" w:rsidR="0084773D" w:rsidRPr="00806617" w:rsidRDefault="0084773D" w:rsidP="00806617">
            <w:pPr>
              <w:spacing w:after="160" w:line="278" w:lineRule="auto"/>
            </w:pPr>
            <w:r w:rsidRPr="00806617">
              <w:t>Proyectista</w:t>
            </w:r>
          </w:p>
        </w:tc>
      </w:tr>
      <w:tr w:rsidR="0084773D" w:rsidRPr="00806617" w14:paraId="3682BFDE" w14:textId="77777777" w:rsidTr="004F01FB">
        <w:tc>
          <w:tcPr>
            <w:tcW w:w="2830" w:type="dxa"/>
          </w:tcPr>
          <w:p w14:paraId="2F09DA99" w14:textId="21792DEF" w:rsidR="0084773D" w:rsidRPr="00806617" w:rsidRDefault="0084773D" w:rsidP="005E7DD1">
            <w:pPr>
              <w:spacing w:after="160" w:line="278" w:lineRule="auto"/>
            </w:pPr>
            <w:r>
              <w:rPr>
                <w:b/>
                <w:bCs/>
              </w:rPr>
              <w:t>2</w:t>
            </w:r>
            <w:r w:rsidRPr="00806617">
              <w:rPr>
                <w:b/>
                <w:bCs/>
              </w:rPr>
              <w:t>. Evidenciar la vinculación interna o externa del proyecto</w:t>
            </w:r>
            <w:r w:rsidR="006A7549">
              <w:t>**</w:t>
            </w:r>
          </w:p>
        </w:tc>
        <w:tc>
          <w:tcPr>
            <w:tcW w:w="1843" w:type="dxa"/>
          </w:tcPr>
          <w:p w14:paraId="2813DD66" w14:textId="7E8723E6" w:rsidR="0084773D" w:rsidRPr="00806617" w:rsidRDefault="0084773D" w:rsidP="005E7DD1">
            <w:pPr>
              <w:spacing w:after="160" w:line="278" w:lineRule="auto"/>
            </w:pPr>
            <w:r w:rsidRPr="00806617">
              <w:t>Carta firmada por los involucrados</w:t>
            </w:r>
          </w:p>
        </w:tc>
        <w:tc>
          <w:tcPr>
            <w:tcW w:w="2126" w:type="dxa"/>
          </w:tcPr>
          <w:p w14:paraId="1D216647" w14:textId="11D47642" w:rsidR="0084773D" w:rsidRPr="00806617" w:rsidRDefault="0084773D" w:rsidP="005E7DD1">
            <w:pPr>
              <w:spacing w:after="160" w:line="278" w:lineRule="auto"/>
            </w:pPr>
            <w:r w:rsidRPr="00806617">
              <w:t>Simultáneo a</w:t>
            </w:r>
            <w:r>
              <w:t>l completar el formulario único</w:t>
            </w:r>
          </w:p>
        </w:tc>
        <w:tc>
          <w:tcPr>
            <w:tcW w:w="1985" w:type="dxa"/>
          </w:tcPr>
          <w:p w14:paraId="255D6B91" w14:textId="1EC97FA5" w:rsidR="0084773D" w:rsidRPr="00806617" w:rsidRDefault="0084773D" w:rsidP="005E7DD1">
            <w:pPr>
              <w:spacing w:after="160" w:line="278" w:lineRule="auto"/>
            </w:pPr>
            <w:r w:rsidRPr="00806617">
              <w:t>Proyectista / Involucrados</w:t>
            </w:r>
          </w:p>
        </w:tc>
      </w:tr>
      <w:tr w:rsidR="0084773D" w:rsidRPr="00806617" w14:paraId="0D28CA25" w14:textId="77777777" w:rsidTr="004F01FB">
        <w:tc>
          <w:tcPr>
            <w:tcW w:w="2830" w:type="dxa"/>
          </w:tcPr>
          <w:p w14:paraId="2D7AEF82" w14:textId="34520BAA" w:rsidR="0084773D" w:rsidRDefault="0084773D" w:rsidP="005E7DD1">
            <w:pPr>
              <w:rPr>
                <w:b/>
                <w:bCs/>
              </w:rPr>
            </w:pPr>
            <w:r>
              <w:rPr>
                <w:b/>
                <w:bCs/>
              </w:rPr>
              <w:t>3</w:t>
            </w:r>
            <w:r w:rsidRPr="00806617">
              <w:rPr>
                <w:b/>
                <w:bCs/>
              </w:rPr>
              <w:t>. Coordinar proyectos con CITTED (si aplica)</w:t>
            </w:r>
          </w:p>
        </w:tc>
        <w:tc>
          <w:tcPr>
            <w:tcW w:w="1843" w:type="dxa"/>
          </w:tcPr>
          <w:p w14:paraId="60431170" w14:textId="256C17B5" w:rsidR="0084773D" w:rsidRPr="00806617" w:rsidRDefault="0084773D" w:rsidP="005E7DD1">
            <w:r w:rsidRPr="00806617">
              <w:t>Carta aval del CITTED</w:t>
            </w:r>
          </w:p>
        </w:tc>
        <w:tc>
          <w:tcPr>
            <w:tcW w:w="2126" w:type="dxa"/>
          </w:tcPr>
          <w:p w14:paraId="0800CCE8" w14:textId="350E256C" w:rsidR="0084773D" w:rsidRPr="00806617" w:rsidRDefault="0084773D" w:rsidP="005E7DD1">
            <w:r w:rsidRPr="00806617">
              <w:t>Simultáneo a</w:t>
            </w:r>
            <w:r>
              <w:t>l completar el formulario único</w:t>
            </w:r>
          </w:p>
        </w:tc>
        <w:tc>
          <w:tcPr>
            <w:tcW w:w="1985" w:type="dxa"/>
          </w:tcPr>
          <w:p w14:paraId="21C1A43E" w14:textId="4C7E4A83" w:rsidR="0084773D" w:rsidRPr="00806617" w:rsidRDefault="0084773D" w:rsidP="005E7DD1">
            <w:r w:rsidRPr="00806617">
              <w:t>Proyectista / CITTED</w:t>
            </w:r>
          </w:p>
        </w:tc>
      </w:tr>
      <w:tr w:rsidR="0084773D" w:rsidRPr="00806617" w14:paraId="532AA6CF" w14:textId="77777777" w:rsidTr="004F01FB">
        <w:tc>
          <w:tcPr>
            <w:tcW w:w="2830" w:type="dxa"/>
          </w:tcPr>
          <w:p w14:paraId="1C2271DB" w14:textId="052A9AE7" w:rsidR="0084773D" w:rsidRPr="00806617" w:rsidRDefault="0084773D" w:rsidP="005E7DD1">
            <w:r>
              <w:rPr>
                <w:b/>
                <w:bCs/>
              </w:rPr>
              <w:t>4</w:t>
            </w:r>
            <w:r w:rsidRPr="00806617">
              <w:rPr>
                <w:b/>
                <w:bCs/>
              </w:rPr>
              <w:t>. Someter la propuesta a la CAE para revisión técnica y calidad académica</w:t>
            </w:r>
          </w:p>
        </w:tc>
        <w:tc>
          <w:tcPr>
            <w:tcW w:w="1843" w:type="dxa"/>
          </w:tcPr>
          <w:p w14:paraId="7076AB35" w14:textId="7237B51C" w:rsidR="0084773D" w:rsidRPr="00806617" w:rsidRDefault="0084773D" w:rsidP="005E7DD1">
            <w:r w:rsidRPr="00806617">
              <w:t>Carta aval de la CAE</w:t>
            </w:r>
          </w:p>
        </w:tc>
        <w:tc>
          <w:tcPr>
            <w:tcW w:w="2126" w:type="dxa"/>
          </w:tcPr>
          <w:p w14:paraId="1393097E" w14:textId="49AFBB10" w:rsidR="0084773D" w:rsidRPr="00806617" w:rsidRDefault="0084773D" w:rsidP="005E7DD1"/>
        </w:tc>
        <w:tc>
          <w:tcPr>
            <w:tcW w:w="1985" w:type="dxa"/>
          </w:tcPr>
          <w:p w14:paraId="0ADFD65B" w14:textId="5555B084" w:rsidR="0084773D" w:rsidRPr="00806617" w:rsidRDefault="0084773D" w:rsidP="005E7DD1">
            <w:r w:rsidRPr="00806617">
              <w:t>Proyectista / CAE del Programa</w:t>
            </w:r>
          </w:p>
        </w:tc>
      </w:tr>
      <w:tr w:rsidR="0084773D" w:rsidRPr="00806617" w14:paraId="68F99F82" w14:textId="77777777" w:rsidTr="004F01FB">
        <w:tc>
          <w:tcPr>
            <w:tcW w:w="2830" w:type="dxa"/>
            <w:hideMark/>
          </w:tcPr>
          <w:p w14:paraId="489992DA" w14:textId="359D612C" w:rsidR="0084773D" w:rsidRPr="00806617" w:rsidRDefault="0084773D" w:rsidP="005E7DD1">
            <w:pPr>
              <w:spacing w:after="160" w:line="278" w:lineRule="auto"/>
            </w:pPr>
            <w:r>
              <w:rPr>
                <w:b/>
                <w:bCs/>
              </w:rPr>
              <w:t>5</w:t>
            </w:r>
            <w:r w:rsidRPr="00806617">
              <w:rPr>
                <w:b/>
                <w:bCs/>
              </w:rPr>
              <w:t>. Revisión de la COMIEX de la propuesta</w:t>
            </w:r>
            <w:r>
              <w:rPr>
                <w:b/>
                <w:bCs/>
              </w:rPr>
              <w:t xml:space="preserve"> (Rev. 1)</w:t>
            </w:r>
          </w:p>
        </w:tc>
        <w:tc>
          <w:tcPr>
            <w:tcW w:w="1843" w:type="dxa"/>
            <w:hideMark/>
          </w:tcPr>
          <w:p w14:paraId="46A387FE" w14:textId="752C0854" w:rsidR="0084773D" w:rsidRPr="00806617" w:rsidRDefault="0084773D" w:rsidP="005E7DD1">
            <w:pPr>
              <w:spacing w:after="160" w:line="278" w:lineRule="auto"/>
            </w:pPr>
            <w:r>
              <w:t>Propuesta con observaciones COMIEX</w:t>
            </w:r>
          </w:p>
        </w:tc>
        <w:tc>
          <w:tcPr>
            <w:tcW w:w="2126" w:type="dxa"/>
            <w:hideMark/>
          </w:tcPr>
          <w:p w14:paraId="0AA4EA1A" w14:textId="773A7E45" w:rsidR="0084773D" w:rsidRPr="00806617" w:rsidRDefault="0084773D" w:rsidP="005E7DD1">
            <w:pPr>
              <w:spacing w:after="160" w:line="278" w:lineRule="auto"/>
            </w:pPr>
            <w:r>
              <w:t>15</w:t>
            </w:r>
            <w:r w:rsidRPr="00806617">
              <w:t xml:space="preserve"> días hábiles para revisión y respuesta</w:t>
            </w:r>
          </w:p>
        </w:tc>
        <w:tc>
          <w:tcPr>
            <w:tcW w:w="1985" w:type="dxa"/>
            <w:hideMark/>
          </w:tcPr>
          <w:p w14:paraId="73B59E37" w14:textId="77777777" w:rsidR="0084773D" w:rsidRPr="00806617" w:rsidRDefault="0084773D" w:rsidP="005E7DD1">
            <w:pPr>
              <w:spacing w:after="160" w:line="278" w:lineRule="auto"/>
            </w:pPr>
            <w:r w:rsidRPr="00806617">
              <w:t>COMIEX</w:t>
            </w:r>
          </w:p>
        </w:tc>
      </w:tr>
      <w:tr w:rsidR="0084773D" w:rsidRPr="00806617" w14:paraId="0161FD5C" w14:textId="77777777" w:rsidTr="004F01FB">
        <w:tc>
          <w:tcPr>
            <w:tcW w:w="2830" w:type="dxa"/>
          </w:tcPr>
          <w:p w14:paraId="32E4972F" w14:textId="7A4A0338" w:rsidR="0084773D" w:rsidRDefault="0084773D" w:rsidP="005E7DD1">
            <w:pPr>
              <w:rPr>
                <w:b/>
                <w:bCs/>
              </w:rPr>
            </w:pPr>
            <w:r w:rsidRPr="008303AA">
              <w:rPr>
                <w:b/>
                <w:bCs/>
              </w:rPr>
              <w:t>6. Gestión de modificaciones</w:t>
            </w:r>
          </w:p>
        </w:tc>
        <w:tc>
          <w:tcPr>
            <w:tcW w:w="1843" w:type="dxa"/>
          </w:tcPr>
          <w:p w14:paraId="0688B068" w14:textId="42630EE1" w:rsidR="0084773D" w:rsidRPr="00806617" w:rsidRDefault="0084773D" w:rsidP="005E7DD1">
            <w:r w:rsidRPr="008303AA">
              <w:t>Propuesta corregida con retroalimentación de la COMIEX</w:t>
            </w:r>
          </w:p>
        </w:tc>
        <w:tc>
          <w:tcPr>
            <w:tcW w:w="2126" w:type="dxa"/>
          </w:tcPr>
          <w:p w14:paraId="44E44073" w14:textId="0AEE49CF" w:rsidR="0084773D" w:rsidRDefault="0084773D" w:rsidP="005E7DD1">
            <w:r>
              <w:t xml:space="preserve">Se recomienda </w:t>
            </w:r>
            <w:r w:rsidRPr="008303AA">
              <w:t>10 días hábiles desde la recepción de correcciones solicitadas</w:t>
            </w:r>
          </w:p>
        </w:tc>
        <w:tc>
          <w:tcPr>
            <w:tcW w:w="1985" w:type="dxa"/>
          </w:tcPr>
          <w:p w14:paraId="03895E3D" w14:textId="7A5F97BB" w:rsidR="0084773D" w:rsidRPr="00806617" w:rsidRDefault="0084773D" w:rsidP="005E7DD1">
            <w:r w:rsidRPr="008303AA">
              <w:t xml:space="preserve">Proyectista </w:t>
            </w:r>
          </w:p>
        </w:tc>
      </w:tr>
      <w:tr w:rsidR="0084773D" w:rsidRPr="00806617" w14:paraId="797E6B3B" w14:textId="77777777" w:rsidTr="004F01FB">
        <w:tc>
          <w:tcPr>
            <w:tcW w:w="2830" w:type="dxa"/>
          </w:tcPr>
          <w:p w14:paraId="664FF933" w14:textId="621D9999" w:rsidR="0084773D" w:rsidRPr="008303AA" w:rsidRDefault="0084773D" w:rsidP="008303AA">
            <w:pPr>
              <w:rPr>
                <w:b/>
                <w:bCs/>
              </w:rPr>
            </w:pPr>
            <w:r>
              <w:rPr>
                <w:b/>
                <w:bCs/>
              </w:rPr>
              <w:lastRenderedPageBreak/>
              <w:t>7</w:t>
            </w:r>
            <w:r w:rsidRPr="00806617">
              <w:rPr>
                <w:b/>
                <w:bCs/>
              </w:rPr>
              <w:t>. Revisión de la COMIEX de la propuesta</w:t>
            </w:r>
            <w:r>
              <w:rPr>
                <w:b/>
                <w:bCs/>
              </w:rPr>
              <w:t xml:space="preserve"> (Rev. 2)</w:t>
            </w:r>
          </w:p>
        </w:tc>
        <w:tc>
          <w:tcPr>
            <w:tcW w:w="1843" w:type="dxa"/>
          </w:tcPr>
          <w:p w14:paraId="2517FAA3" w14:textId="3793C4AE" w:rsidR="0084773D" w:rsidRPr="008303AA" w:rsidRDefault="0084773D" w:rsidP="008303AA">
            <w:r w:rsidRPr="008303AA">
              <w:t>Propuesta corregida</w:t>
            </w:r>
            <w:r>
              <w:t xml:space="preserve"> para enviar a la dirección ECEN</w:t>
            </w:r>
          </w:p>
        </w:tc>
        <w:tc>
          <w:tcPr>
            <w:tcW w:w="2126" w:type="dxa"/>
          </w:tcPr>
          <w:p w14:paraId="23F70247" w14:textId="4A7958BC" w:rsidR="0084773D" w:rsidRPr="008303AA" w:rsidRDefault="0084773D" w:rsidP="008303AA">
            <w:r>
              <w:t>7</w:t>
            </w:r>
            <w:r w:rsidRPr="00806617">
              <w:t xml:space="preserve"> días hábiles para revisión y respuesta</w:t>
            </w:r>
          </w:p>
        </w:tc>
        <w:tc>
          <w:tcPr>
            <w:tcW w:w="1985" w:type="dxa"/>
          </w:tcPr>
          <w:p w14:paraId="561F2712" w14:textId="1A2D32A9" w:rsidR="0084773D" w:rsidRPr="008303AA" w:rsidRDefault="0084773D" w:rsidP="008303AA">
            <w:r w:rsidRPr="00806617">
              <w:t>COMIEX</w:t>
            </w:r>
          </w:p>
        </w:tc>
      </w:tr>
      <w:tr w:rsidR="0084773D" w:rsidRPr="00806617" w14:paraId="01591FA0" w14:textId="77777777" w:rsidTr="004F01FB">
        <w:tc>
          <w:tcPr>
            <w:tcW w:w="2830" w:type="dxa"/>
          </w:tcPr>
          <w:p w14:paraId="4ECE2D3C" w14:textId="73EA9BF9" w:rsidR="0084773D" w:rsidRDefault="0084773D" w:rsidP="008303AA">
            <w:pPr>
              <w:rPr>
                <w:b/>
                <w:bCs/>
              </w:rPr>
            </w:pPr>
            <w:r>
              <w:rPr>
                <w:b/>
                <w:bCs/>
              </w:rPr>
              <w:t>8</w:t>
            </w:r>
            <w:r w:rsidRPr="008303AA">
              <w:rPr>
                <w:b/>
                <w:bCs/>
              </w:rPr>
              <w:t>. Revisión por el Director de la ECEN</w:t>
            </w:r>
          </w:p>
        </w:tc>
        <w:tc>
          <w:tcPr>
            <w:tcW w:w="1843" w:type="dxa"/>
          </w:tcPr>
          <w:p w14:paraId="56AA3F05" w14:textId="3B47D336" w:rsidR="0084773D" w:rsidRPr="00806617" w:rsidRDefault="0084773D" w:rsidP="008303AA">
            <w:r>
              <w:t>Propuesta con observaciones de la Dirección ECEN</w:t>
            </w:r>
          </w:p>
        </w:tc>
        <w:tc>
          <w:tcPr>
            <w:tcW w:w="2126" w:type="dxa"/>
          </w:tcPr>
          <w:p w14:paraId="5C40960E" w14:textId="6DE6A959" w:rsidR="0084773D" w:rsidRDefault="0084773D" w:rsidP="008303AA"/>
        </w:tc>
        <w:tc>
          <w:tcPr>
            <w:tcW w:w="1985" w:type="dxa"/>
          </w:tcPr>
          <w:p w14:paraId="34C97EDD" w14:textId="31F4F63E" w:rsidR="0084773D" w:rsidRPr="00806617" w:rsidRDefault="0084773D" w:rsidP="008303AA">
            <w:r w:rsidRPr="008303AA">
              <w:t>Director de la ECEN</w:t>
            </w:r>
          </w:p>
        </w:tc>
      </w:tr>
      <w:tr w:rsidR="0084773D" w:rsidRPr="00806617" w14:paraId="5BDD9EC9" w14:textId="77777777" w:rsidTr="004F01FB">
        <w:tc>
          <w:tcPr>
            <w:tcW w:w="2830" w:type="dxa"/>
          </w:tcPr>
          <w:p w14:paraId="7C047298" w14:textId="0D6389E7" w:rsidR="0084773D" w:rsidRDefault="0084773D" w:rsidP="002F7E7D">
            <w:pPr>
              <w:rPr>
                <w:b/>
                <w:bCs/>
              </w:rPr>
            </w:pPr>
            <w:r>
              <w:rPr>
                <w:b/>
                <w:bCs/>
              </w:rPr>
              <w:t>9</w:t>
            </w:r>
            <w:r w:rsidRPr="008303AA">
              <w:rPr>
                <w:b/>
                <w:bCs/>
              </w:rPr>
              <w:t>. Gestión de modificaciones</w:t>
            </w:r>
          </w:p>
        </w:tc>
        <w:tc>
          <w:tcPr>
            <w:tcW w:w="1843" w:type="dxa"/>
          </w:tcPr>
          <w:p w14:paraId="51AD33E5" w14:textId="48EF6D2E" w:rsidR="0084773D" w:rsidRDefault="0084773D" w:rsidP="002F7E7D">
            <w:r w:rsidRPr="008303AA">
              <w:t xml:space="preserve">Propuesta corregida con retroalimentación de la </w:t>
            </w:r>
            <w:r>
              <w:t>Dirección ECEN</w:t>
            </w:r>
          </w:p>
        </w:tc>
        <w:tc>
          <w:tcPr>
            <w:tcW w:w="2126" w:type="dxa"/>
          </w:tcPr>
          <w:p w14:paraId="7CACA9A3" w14:textId="68C169FB" w:rsidR="0084773D" w:rsidRPr="008303AA" w:rsidRDefault="0084773D" w:rsidP="002F7E7D">
            <w:r w:rsidRPr="008303AA">
              <w:t>Máximo de 10 días hábiles desde la recepción de correcciones solicitadas</w:t>
            </w:r>
          </w:p>
        </w:tc>
        <w:tc>
          <w:tcPr>
            <w:tcW w:w="1985" w:type="dxa"/>
          </w:tcPr>
          <w:p w14:paraId="06F4BD11" w14:textId="5F0B9EDE" w:rsidR="0084773D" w:rsidRPr="008303AA" w:rsidRDefault="0084773D" w:rsidP="002F7E7D">
            <w:r w:rsidRPr="008303AA">
              <w:t xml:space="preserve">Proyectista </w:t>
            </w:r>
          </w:p>
        </w:tc>
      </w:tr>
      <w:tr w:rsidR="0084773D" w:rsidRPr="00806617" w14:paraId="66783782" w14:textId="77777777" w:rsidTr="004F01FB">
        <w:tc>
          <w:tcPr>
            <w:tcW w:w="2830" w:type="dxa"/>
          </w:tcPr>
          <w:p w14:paraId="01CA0516" w14:textId="773EA42F" w:rsidR="0084773D" w:rsidRDefault="0084773D" w:rsidP="002F7E7D">
            <w:pPr>
              <w:rPr>
                <w:b/>
                <w:bCs/>
              </w:rPr>
            </w:pPr>
            <w:r>
              <w:rPr>
                <w:b/>
                <w:bCs/>
              </w:rPr>
              <w:t>10</w:t>
            </w:r>
            <w:r w:rsidRPr="002F7E7D">
              <w:rPr>
                <w:b/>
                <w:bCs/>
              </w:rPr>
              <w:t>. Solicitud de aval de la Dirección de la ECEN</w:t>
            </w:r>
          </w:p>
        </w:tc>
        <w:tc>
          <w:tcPr>
            <w:tcW w:w="1843" w:type="dxa"/>
          </w:tcPr>
          <w:p w14:paraId="3E31DC88" w14:textId="4D5A7F10" w:rsidR="0084773D" w:rsidRPr="008303AA" w:rsidRDefault="0084773D" w:rsidP="002F7E7D">
            <w:r w:rsidRPr="002F7E7D">
              <w:t>Aval firmado por la Dirección de la ECEN</w:t>
            </w:r>
          </w:p>
        </w:tc>
        <w:tc>
          <w:tcPr>
            <w:tcW w:w="2126" w:type="dxa"/>
          </w:tcPr>
          <w:p w14:paraId="19E62873" w14:textId="118D8A95" w:rsidR="0084773D" w:rsidRPr="008303AA" w:rsidRDefault="0084773D" w:rsidP="002F7E7D">
            <w:r w:rsidRPr="002F7E7D">
              <w:t>7 días hábiles para la Dirección de la ECEN</w:t>
            </w:r>
          </w:p>
        </w:tc>
        <w:tc>
          <w:tcPr>
            <w:tcW w:w="1985" w:type="dxa"/>
          </w:tcPr>
          <w:p w14:paraId="2DAA827E" w14:textId="1E8D63D3" w:rsidR="0084773D" w:rsidRPr="008303AA" w:rsidRDefault="0084773D" w:rsidP="002F7E7D">
            <w:r w:rsidRPr="002F7E7D">
              <w:t>Dirección de la ECEN / COMIEX</w:t>
            </w:r>
          </w:p>
        </w:tc>
      </w:tr>
      <w:tr w:rsidR="0084773D" w:rsidRPr="00806617" w14:paraId="5592869A" w14:textId="77777777" w:rsidTr="004F01FB">
        <w:tc>
          <w:tcPr>
            <w:tcW w:w="2830" w:type="dxa"/>
          </w:tcPr>
          <w:p w14:paraId="48CF2423" w14:textId="73D5186A" w:rsidR="0084773D" w:rsidRDefault="0084773D" w:rsidP="002F7E7D">
            <w:pPr>
              <w:rPr>
                <w:b/>
                <w:bCs/>
              </w:rPr>
            </w:pPr>
            <w:r>
              <w:rPr>
                <w:b/>
                <w:bCs/>
              </w:rPr>
              <w:t>11</w:t>
            </w:r>
            <w:r w:rsidRPr="008D3A7F">
              <w:rPr>
                <w:b/>
                <w:bCs/>
              </w:rPr>
              <w:t>. Aval de la COMIEX</w:t>
            </w:r>
          </w:p>
        </w:tc>
        <w:tc>
          <w:tcPr>
            <w:tcW w:w="1843" w:type="dxa"/>
          </w:tcPr>
          <w:p w14:paraId="4DAA1BB2" w14:textId="60871F61" w:rsidR="0084773D" w:rsidRPr="002F7E7D" w:rsidRDefault="0084773D" w:rsidP="002F7E7D">
            <w:r w:rsidRPr="008D3A7F">
              <w:t>Carta aval de la COMIEX</w:t>
            </w:r>
          </w:p>
        </w:tc>
        <w:tc>
          <w:tcPr>
            <w:tcW w:w="2126" w:type="dxa"/>
          </w:tcPr>
          <w:p w14:paraId="11F5525C" w14:textId="48A8048A" w:rsidR="0084773D" w:rsidRPr="002F7E7D" w:rsidRDefault="0084773D" w:rsidP="002F7E7D">
            <w:r>
              <w:t>3</w:t>
            </w:r>
            <w:r w:rsidRPr="008D3A7F">
              <w:t xml:space="preserve"> días hábiles tras el aval de la Dirección de la ECEN</w:t>
            </w:r>
          </w:p>
        </w:tc>
        <w:tc>
          <w:tcPr>
            <w:tcW w:w="1985" w:type="dxa"/>
          </w:tcPr>
          <w:p w14:paraId="0B654CF8" w14:textId="6A37EE0F" w:rsidR="0084773D" w:rsidRPr="002F7E7D" w:rsidRDefault="0084773D" w:rsidP="002F7E7D">
            <w:r w:rsidRPr="008D3A7F">
              <w:t>COMIEX</w:t>
            </w:r>
          </w:p>
        </w:tc>
      </w:tr>
      <w:tr w:rsidR="0084773D" w:rsidRPr="00806617" w14:paraId="3002FB72" w14:textId="77777777" w:rsidTr="004F01FB">
        <w:tc>
          <w:tcPr>
            <w:tcW w:w="2830" w:type="dxa"/>
            <w:hideMark/>
          </w:tcPr>
          <w:p w14:paraId="26D198AD" w14:textId="6D6CE669" w:rsidR="0084773D" w:rsidRPr="00806617" w:rsidRDefault="0084773D" w:rsidP="002F7E7D">
            <w:pPr>
              <w:spacing w:after="160" w:line="278" w:lineRule="auto"/>
            </w:pPr>
            <w:r>
              <w:rPr>
                <w:b/>
                <w:bCs/>
              </w:rPr>
              <w:t>12</w:t>
            </w:r>
            <w:r w:rsidRPr="00806617">
              <w:rPr>
                <w:b/>
                <w:bCs/>
              </w:rPr>
              <w:t xml:space="preserve">. </w:t>
            </w:r>
            <w:r w:rsidR="0066523A">
              <w:rPr>
                <w:b/>
                <w:bCs/>
              </w:rPr>
              <w:t>Registro</w:t>
            </w:r>
            <w:r w:rsidRPr="00806617">
              <w:rPr>
                <w:b/>
                <w:bCs/>
              </w:rPr>
              <w:t xml:space="preserve"> del proyecto en la instancia correspondiente</w:t>
            </w:r>
          </w:p>
        </w:tc>
        <w:tc>
          <w:tcPr>
            <w:tcW w:w="1843" w:type="dxa"/>
            <w:hideMark/>
          </w:tcPr>
          <w:p w14:paraId="51DAF180" w14:textId="77777777" w:rsidR="0084773D" w:rsidRPr="00806617" w:rsidRDefault="0084773D" w:rsidP="002F7E7D">
            <w:pPr>
              <w:spacing w:after="160" w:line="278" w:lineRule="auto"/>
            </w:pPr>
            <w:r w:rsidRPr="00806617">
              <w:t>Código de proyecto asignado</w:t>
            </w:r>
          </w:p>
        </w:tc>
        <w:tc>
          <w:tcPr>
            <w:tcW w:w="2126" w:type="dxa"/>
            <w:hideMark/>
          </w:tcPr>
          <w:p w14:paraId="576F8E5F" w14:textId="77777777" w:rsidR="0084773D" w:rsidRPr="00806617" w:rsidRDefault="0084773D" w:rsidP="002F7E7D">
            <w:pPr>
              <w:spacing w:after="160" w:line="278" w:lineRule="auto"/>
            </w:pPr>
            <w:r w:rsidRPr="00806617">
              <w:t>5 días hábiles tras la aprobación de la COMIEX</w:t>
            </w:r>
          </w:p>
        </w:tc>
        <w:tc>
          <w:tcPr>
            <w:tcW w:w="1985" w:type="dxa"/>
            <w:hideMark/>
          </w:tcPr>
          <w:p w14:paraId="6DB5A84D" w14:textId="6E6531DD" w:rsidR="0084773D" w:rsidRPr="00806617" w:rsidRDefault="0084773D" w:rsidP="002F7E7D">
            <w:pPr>
              <w:spacing w:after="160" w:line="278" w:lineRule="auto"/>
            </w:pPr>
            <w:r w:rsidRPr="00806617">
              <w:t xml:space="preserve">Proyectista / Vicerrectoría de Investigación o </w:t>
            </w:r>
            <w:r>
              <w:t>Vicerrectoría de Extensión y Vinculación Territorial</w:t>
            </w:r>
          </w:p>
        </w:tc>
      </w:tr>
    </w:tbl>
    <w:p w14:paraId="333CF59D" w14:textId="12069A58" w:rsidR="00E53992" w:rsidRDefault="00F927CA" w:rsidP="00804C83">
      <w:pPr>
        <w:jc w:val="both"/>
      </w:pPr>
      <w:r>
        <w:t>*</w:t>
      </w:r>
      <w:r w:rsidRPr="00F927CA">
        <w:t xml:space="preserve"> </w:t>
      </w:r>
      <w:r w:rsidRPr="005E7DD1">
        <w:t>En caso de optar por fondos externos, se respetarán los formularios específicos de las entidades financiadoras, permitiendo que los proyectos que utilicen dichos formatos se presenten sin necesidad de completar el Formulario Único de COMIEX</w:t>
      </w:r>
      <w:r>
        <w:t>.</w:t>
      </w:r>
    </w:p>
    <w:p w14:paraId="38C4664D" w14:textId="402CFF77" w:rsidR="00D15870" w:rsidRDefault="006A7549" w:rsidP="00304CC9">
      <w:pPr>
        <w:jc w:val="both"/>
      </w:pPr>
      <w:r>
        <w:t>**</w:t>
      </w:r>
      <w:r w:rsidR="0094361C">
        <w:t xml:space="preserve">De contar con vinculación </w:t>
      </w:r>
      <w:r w:rsidR="00804C83">
        <w:t xml:space="preserve">interna o externa, se debe presentar una </w:t>
      </w:r>
      <w:r w:rsidR="00282F62">
        <w:t xml:space="preserve">carta de </w:t>
      </w:r>
      <w:r w:rsidR="00464664">
        <w:t>resp</w:t>
      </w:r>
      <w:r w:rsidR="00304CC9">
        <w:t>aldo que incluya</w:t>
      </w:r>
      <w:r w:rsidR="00147AE2">
        <w:t>: nombre de las personas vinculadas</w:t>
      </w:r>
      <w:r w:rsidR="00791522">
        <w:t>,</w:t>
      </w:r>
      <w:r w:rsidR="00312E3C">
        <w:t xml:space="preserve"> </w:t>
      </w:r>
      <w:r w:rsidR="002D4CD6">
        <w:t>forma en la que participarán</w:t>
      </w:r>
      <w:r w:rsidR="00791522">
        <w:t xml:space="preserve"> y firma</w:t>
      </w:r>
      <w:r w:rsidR="003C6CB7">
        <w:t>s correspondientes</w:t>
      </w:r>
      <w:r w:rsidR="00304CC9">
        <w:t>.</w:t>
      </w:r>
      <w:r w:rsidR="00791522">
        <w:t xml:space="preserve"> </w:t>
      </w:r>
    </w:p>
    <w:sectPr w:rsidR="00D15870" w:rsidSect="009709C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6D6B" w14:textId="77777777" w:rsidR="00D15870" w:rsidRDefault="00D15870" w:rsidP="00D15870">
      <w:pPr>
        <w:spacing w:after="0" w:line="240" w:lineRule="auto"/>
      </w:pPr>
      <w:r>
        <w:separator/>
      </w:r>
    </w:p>
  </w:endnote>
  <w:endnote w:type="continuationSeparator" w:id="0">
    <w:p w14:paraId="184A8533" w14:textId="77777777" w:rsidR="00D15870" w:rsidRDefault="00D15870" w:rsidP="00D15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0080" w14:textId="77777777" w:rsidR="00D15870" w:rsidRDefault="00D15870" w:rsidP="00D15870">
      <w:pPr>
        <w:spacing w:after="0" w:line="240" w:lineRule="auto"/>
      </w:pPr>
      <w:r>
        <w:separator/>
      </w:r>
    </w:p>
  </w:footnote>
  <w:footnote w:type="continuationSeparator" w:id="0">
    <w:p w14:paraId="30D1BF62" w14:textId="77777777" w:rsidR="00D15870" w:rsidRDefault="00D15870" w:rsidP="00D15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41D1" w14:textId="77777777" w:rsidR="0077501A" w:rsidRDefault="00D15870" w:rsidP="0077501A">
    <w:pPr>
      <w:spacing w:after="0" w:line="276" w:lineRule="auto"/>
      <w:rPr>
        <w:b/>
        <w:bCs/>
        <w:sz w:val="32"/>
        <w:szCs w:val="32"/>
      </w:rPr>
    </w:pPr>
    <w:r>
      <w:rPr>
        <w:noProof/>
      </w:rPr>
      <w:drawing>
        <wp:anchor distT="0" distB="0" distL="114300" distR="114300" simplePos="0" relativeHeight="251658240" behindDoc="1" locked="0" layoutInCell="1" allowOverlap="1" wp14:anchorId="7B258CAE" wp14:editId="7EE0980B">
          <wp:simplePos x="0" y="0"/>
          <wp:positionH relativeFrom="column">
            <wp:posOffset>-3810</wp:posOffset>
          </wp:positionH>
          <wp:positionV relativeFrom="paragraph">
            <wp:posOffset>-56515</wp:posOffset>
          </wp:positionV>
          <wp:extent cx="647700" cy="935355"/>
          <wp:effectExtent l="0" t="0" r="0" b="4445"/>
          <wp:wrapThrough wrapText="bothSides">
            <wp:wrapPolygon edited="0">
              <wp:start x="6353" y="0"/>
              <wp:lineTo x="2965" y="1466"/>
              <wp:lineTo x="0" y="3813"/>
              <wp:lineTo x="0" y="11438"/>
              <wp:lineTo x="4659" y="14077"/>
              <wp:lineTo x="0" y="15837"/>
              <wp:lineTo x="0" y="21409"/>
              <wp:lineTo x="21176" y="21409"/>
              <wp:lineTo x="21176" y="16424"/>
              <wp:lineTo x="16518" y="14077"/>
              <wp:lineTo x="21176" y="11438"/>
              <wp:lineTo x="21176" y="3813"/>
              <wp:lineTo x="18212" y="1466"/>
              <wp:lineTo x="14824" y="0"/>
              <wp:lineTo x="6353" y="0"/>
            </wp:wrapPolygon>
          </wp:wrapThrough>
          <wp:docPr id="11913362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36243" name="Imagen 1191336243"/>
                  <pic:cNvPicPr/>
                </pic:nvPicPr>
                <pic:blipFill>
                  <a:blip r:embed="rId1">
                    <a:extLst>
                      <a:ext uri="{28A0092B-C50C-407E-A947-70E740481C1C}">
                        <a14:useLocalDpi xmlns:a14="http://schemas.microsoft.com/office/drawing/2010/main" val="0"/>
                      </a:ext>
                    </a:extLst>
                  </a:blip>
                  <a:stretch>
                    <a:fillRect/>
                  </a:stretch>
                </pic:blipFill>
                <pic:spPr>
                  <a:xfrm>
                    <a:off x="0" y="0"/>
                    <a:ext cx="647700" cy="935355"/>
                  </a:xfrm>
                  <a:prstGeom prst="rect">
                    <a:avLst/>
                  </a:prstGeom>
                </pic:spPr>
              </pic:pic>
            </a:graphicData>
          </a:graphic>
          <wp14:sizeRelH relativeFrom="page">
            <wp14:pctWidth>0</wp14:pctWidth>
          </wp14:sizeRelH>
          <wp14:sizeRelV relativeFrom="page">
            <wp14:pctHeight>0</wp14:pctHeight>
          </wp14:sizeRelV>
        </wp:anchor>
      </w:drawing>
    </w:r>
  </w:p>
  <w:p w14:paraId="407337E7" w14:textId="2CAE51EF" w:rsidR="0077501A" w:rsidRDefault="0077501A" w:rsidP="00AD464F">
    <w:pPr>
      <w:spacing w:after="0" w:line="276" w:lineRule="auto"/>
      <w:jc w:val="right"/>
      <w:rPr>
        <w:b/>
        <w:bCs/>
        <w:sz w:val="32"/>
        <w:szCs w:val="32"/>
      </w:rPr>
    </w:pPr>
    <w:r w:rsidRPr="008234B8">
      <w:rPr>
        <w:b/>
        <w:bCs/>
        <w:sz w:val="32"/>
        <w:szCs w:val="32"/>
      </w:rPr>
      <w:t>Procedimiento para la Gestión de</w:t>
    </w:r>
  </w:p>
  <w:p w14:paraId="1F346187" w14:textId="77777777" w:rsidR="0077501A" w:rsidRPr="00943717" w:rsidRDefault="0077501A" w:rsidP="00AD464F">
    <w:pPr>
      <w:spacing w:after="0" w:line="276" w:lineRule="auto"/>
      <w:jc w:val="right"/>
      <w:rPr>
        <w:b/>
        <w:bCs/>
        <w:sz w:val="32"/>
        <w:szCs w:val="32"/>
      </w:rPr>
    </w:pPr>
    <w:r w:rsidRPr="008234B8">
      <w:rPr>
        <w:b/>
        <w:bCs/>
        <w:sz w:val="32"/>
        <w:szCs w:val="32"/>
      </w:rPr>
      <w:t>Proyectos en COMIEX-ECEN</w:t>
    </w:r>
  </w:p>
  <w:p w14:paraId="7ECBF33C" w14:textId="378E2BE5" w:rsidR="00D15870" w:rsidRDefault="00D158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42CA"/>
    <w:multiLevelType w:val="hybridMultilevel"/>
    <w:tmpl w:val="2D1CF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9D4F4F"/>
    <w:multiLevelType w:val="hybridMultilevel"/>
    <w:tmpl w:val="DA1E5A4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5AB7C14"/>
    <w:multiLevelType w:val="multilevel"/>
    <w:tmpl w:val="A576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026C8"/>
    <w:multiLevelType w:val="hybridMultilevel"/>
    <w:tmpl w:val="747087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0D7D92"/>
    <w:multiLevelType w:val="multilevel"/>
    <w:tmpl w:val="161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368984">
    <w:abstractNumId w:val="0"/>
  </w:num>
  <w:num w:numId="2" w16cid:durableId="1702701768">
    <w:abstractNumId w:val="4"/>
  </w:num>
  <w:num w:numId="3" w16cid:durableId="166134141">
    <w:abstractNumId w:val="2"/>
  </w:num>
  <w:num w:numId="4" w16cid:durableId="1489975611">
    <w:abstractNumId w:val="3"/>
  </w:num>
  <w:num w:numId="5" w16cid:durableId="157990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F5"/>
    <w:rsid w:val="00084864"/>
    <w:rsid w:val="000C29A3"/>
    <w:rsid w:val="00147AE2"/>
    <w:rsid w:val="00197FE5"/>
    <w:rsid w:val="0020301B"/>
    <w:rsid w:val="0027089C"/>
    <w:rsid w:val="00277065"/>
    <w:rsid w:val="00282F62"/>
    <w:rsid w:val="002952A7"/>
    <w:rsid w:val="002D4CD6"/>
    <w:rsid w:val="002F7E7D"/>
    <w:rsid w:val="00303E31"/>
    <w:rsid w:val="003049E0"/>
    <w:rsid w:val="00304CC9"/>
    <w:rsid w:val="00312E3C"/>
    <w:rsid w:val="003C6CB7"/>
    <w:rsid w:val="00446C02"/>
    <w:rsid w:val="00464664"/>
    <w:rsid w:val="0049784A"/>
    <w:rsid w:val="004F01FB"/>
    <w:rsid w:val="0052445A"/>
    <w:rsid w:val="00536322"/>
    <w:rsid w:val="005815A7"/>
    <w:rsid w:val="005E7DD1"/>
    <w:rsid w:val="006308C4"/>
    <w:rsid w:val="0066523A"/>
    <w:rsid w:val="006A7549"/>
    <w:rsid w:val="0077501A"/>
    <w:rsid w:val="007819BF"/>
    <w:rsid w:val="00791522"/>
    <w:rsid w:val="00804C83"/>
    <w:rsid w:val="00806617"/>
    <w:rsid w:val="008234B8"/>
    <w:rsid w:val="008303AA"/>
    <w:rsid w:val="0084773D"/>
    <w:rsid w:val="008969E2"/>
    <w:rsid w:val="008A710B"/>
    <w:rsid w:val="008D288E"/>
    <w:rsid w:val="008D3A7F"/>
    <w:rsid w:val="008D446A"/>
    <w:rsid w:val="00902875"/>
    <w:rsid w:val="00932094"/>
    <w:rsid w:val="0094361C"/>
    <w:rsid w:val="00943717"/>
    <w:rsid w:val="009709CF"/>
    <w:rsid w:val="00A017D7"/>
    <w:rsid w:val="00A7511A"/>
    <w:rsid w:val="00AA47D9"/>
    <w:rsid w:val="00AD464F"/>
    <w:rsid w:val="00B226EE"/>
    <w:rsid w:val="00C12588"/>
    <w:rsid w:val="00C17F81"/>
    <w:rsid w:val="00CE1EA2"/>
    <w:rsid w:val="00D15870"/>
    <w:rsid w:val="00D256C5"/>
    <w:rsid w:val="00E17A59"/>
    <w:rsid w:val="00E53992"/>
    <w:rsid w:val="00F21396"/>
    <w:rsid w:val="00F221F5"/>
    <w:rsid w:val="00F66FE9"/>
    <w:rsid w:val="00F927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7A23"/>
  <w15:chartTrackingRefBased/>
  <w15:docId w15:val="{54F82930-0214-F54B-B6F3-D85C1C1B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2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2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21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21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21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21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21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21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21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1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21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21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21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21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21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21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21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21F5"/>
    <w:rPr>
      <w:rFonts w:eastAsiaTheme="majorEastAsia" w:cstheme="majorBidi"/>
      <w:color w:val="272727" w:themeColor="text1" w:themeTint="D8"/>
    </w:rPr>
  </w:style>
  <w:style w:type="paragraph" w:styleId="Ttulo">
    <w:name w:val="Title"/>
    <w:basedOn w:val="Normal"/>
    <w:next w:val="Normal"/>
    <w:link w:val="TtuloCar"/>
    <w:uiPriority w:val="10"/>
    <w:qFormat/>
    <w:rsid w:val="00F22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21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21F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21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21F5"/>
    <w:pPr>
      <w:spacing w:before="160"/>
      <w:jc w:val="center"/>
    </w:pPr>
    <w:rPr>
      <w:i/>
      <w:iCs/>
      <w:color w:val="404040" w:themeColor="text1" w:themeTint="BF"/>
    </w:rPr>
  </w:style>
  <w:style w:type="character" w:customStyle="1" w:styleId="CitaCar">
    <w:name w:val="Cita Car"/>
    <w:basedOn w:val="Fuentedeprrafopredeter"/>
    <w:link w:val="Cita"/>
    <w:uiPriority w:val="29"/>
    <w:rsid w:val="00F221F5"/>
    <w:rPr>
      <w:i/>
      <w:iCs/>
      <w:color w:val="404040" w:themeColor="text1" w:themeTint="BF"/>
    </w:rPr>
  </w:style>
  <w:style w:type="paragraph" w:styleId="Prrafodelista">
    <w:name w:val="List Paragraph"/>
    <w:basedOn w:val="Normal"/>
    <w:uiPriority w:val="34"/>
    <w:qFormat/>
    <w:rsid w:val="00F221F5"/>
    <w:pPr>
      <w:ind w:left="720"/>
      <w:contextualSpacing/>
    </w:pPr>
  </w:style>
  <w:style w:type="character" w:styleId="nfasisintenso">
    <w:name w:val="Intense Emphasis"/>
    <w:basedOn w:val="Fuentedeprrafopredeter"/>
    <w:uiPriority w:val="21"/>
    <w:qFormat/>
    <w:rsid w:val="00F221F5"/>
    <w:rPr>
      <w:i/>
      <w:iCs/>
      <w:color w:val="0F4761" w:themeColor="accent1" w:themeShade="BF"/>
    </w:rPr>
  </w:style>
  <w:style w:type="paragraph" w:styleId="Citadestacada">
    <w:name w:val="Intense Quote"/>
    <w:basedOn w:val="Normal"/>
    <w:next w:val="Normal"/>
    <w:link w:val="CitadestacadaCar"/>
    <w:uiPriority w:val="30"/>
    <w:qFormat/>
    <w:rsid w:val="00F22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21F5"/>
    <w:rPr>
      <w:i/>
      <w:iCs/>
      <w:color w:val="0F4761" w:themeColor="accent1" w:themeShade="BF"/>
    </w:rPr>
  </w:style>
  <w:style w:type="character" w:styleId="Referenciaintensa">
    <w:name w:val="Intense Reference"/>
    <w:basedOn w:val="Fuentedeprrafopredeter"/>
    <w:uiPriority w:val="32"/>
    <w:qFormat/>
    <w:rsid w:val="00F221F5"/>
    <w:rPr>
      <w:b/>
      <w:bCs/>
      <w:smallCaps/>
      <w:color w:val="0F4761" w:themeColor="accent1" w:themeShade="BF"/>
      <w:spacing w:val="5"/>
    </w:rPr>
  </w:style>
  <w:style w:type="table" w:styleId="Tablaconcuadrculaclara">
    <w:name w:val="Grid Table Light"/>
    <w:basedOn w:val="Tablanormal"/>
    <w:uiPriority w:val="40"/>
    <w:rsid w:val="008066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197FE5"/>
    <w:rPr>
      <w:sz w:val="16"/>
      <w:szCs w:val="16"/>
    </w:rPr>
  </w:style>
  <w:style w:type="paragraph" w:styleId="Textocomentario">
    <w:name w:val="annotation text"/>
    <w:basedOn w:val="Normal"/>
    <w:link w:val="TextocomentarioCar"/>
    <w:uiPriority w:val="99"/>
    <w:semiHidden/>
    <w:unhideWhenUsed/>
    <w:rsid w:val="00197F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7FE5"/>
    <w:rPr>
      <w:sz w:val="20"/>
      <w:szCs w:val="20"/>
    </w:rPr>
  </w:style>
  <w:style w:type="paragraph" w:styleId="Asuntodelcomentario">
    <w:name w:val="annotation subject"/>
    <w:basedOn w:val="Textocomentario"/>
    <w:next w:val="Textocomentario"/>
    <w:link w:val="AsuntodelcomentarioCar"/>
    <w:uiPriority w:val="99"/>
    <w:semiHidden/>
    <w:unhideWhenUsed/>
    <w:rsid w:val="00197FE5"/>
    <w:rPr>
      <w:b/>
      <w:bCs/>
    </w:rPr>
  </w:style>
  <w:style w:type="character" w:customStyle="1" w:styleId="AsuntodelcomentarioCar">
    <w:name w:val="Asunto del comentario Car"/>
    <w:basedOn w:val="TextocomentarioCar"/>
    <w:link w:val="Asuntodelcomentario"/>
    <w:uiPriority w:val="99"/>
    <w:semiHidden/>
    <w:rsid w:val="00197FE5"/>
    <w:rPr>
      <w:b/>
      <w:bCs/>
      <w:sz w:val="20"/>
      <w:szCs w:val="20"/>
    </w:rPr>
  </w:style>
  <w:style w:type="paragraph" w:styleId="Encabezado">
    <w:name w:val="header"/>
    <w:basedOn w:val="Normal"/>
    <w:link w:val="EncabezadoCar"/>
    <w:uiPriority w:val="99"/>
    <w:unhideWhenUsed/>
    <w:rsid w:val="00D158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870"/>
  </w:style>
  <w:style w:type="paragraph" w:styleId="Piedepgina">
    <w:name w:val="footer"/>
    <w:basedOn w:val="Normal"/>
    <w:link w:val="PiedepginaCar"/>
    <w:uiPriority w:val="99"/>
    <w:unhideWhenUsed/>
    <w:rsid w:val="00D158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0498">
      <w:bodyDiv w:val="1"/>
      <w:marLeft w:val="0"/>
      <w:marRight w:val="0"/>
      <w:marTop w:val="0"/>
      <w:marBottom w:val="0"/>
      <w:divBdr>
        <w:top w:val="none" w:sz="0" w:space="0" w:color="auto"/>
        <w:left w:val="none" w:sz="0" w:space="0" w:color="auto"/>
        <w:bottom w:val="none" w:sz="0" w:space="0" w:color="auto"/>
        <w:right w:val="none" w:sz="0" w:space="0" w:color="auto"/>
      </w:divBdr>
    </w:div>
    <w:div w:id="283385122">
      <w:bodyDiv w:val="1"/>
      <w:marLeft w:val="0"/>
      <w:marRight w:val="0"/>
      <w:marTop w:val="0"/>
      <w:marBottom w:val="0"/>
      <w:divBdr>
        <w:top w:val="none" w:sz="0" w:space="0" w:color="auto"/>
        <w:left w:val="none" w:sz="0" w:space="0" w:color="auto"/>
        <w:bottom w:val="none" w:sz="0" w:space="0" w:color="auto"/>
        <w:right w:val="none" w:sz="0" w:space="0" w:color="auto"/>
      </w:divBdr>
    </w:div>
    <w:div w:id="812986558">
      <w:bodyDiv w:val="1"/>
      <w:marLeft w:val="0"/>
      <w:marRight w:val="0"/>
      <w:marTop w:val="0"/>
      <w:marBottom w:val="0"/>
      <w:divBdr>
        <w:top w:val="none" w:sz="0" w:space="0" w:color="auto"/>
        <w:left w:val="none" w:sz="0" w:space="0" w:color="auto"/>
        <w:bottom w:val="none" w:sz="0" w:space="0" w:color="auto"/>
        <w:right w:val="none" w:sz="0" w:space="0" w:color="auto"/>
      </w:divBdr>
    </w:div>
    <w:div w:id="914709975">
      <w:bodyDiv w:val="1"/>
      <w:marLeft w:val="0"/>
      <w:marRight w:val="0"/>
      <w:marTop w:val="0"/>
      <w:marBottom w:val="0"/>
      <w:divBdr>
        <w:top w:val="none" w:sz="0" w:space="0" w:color="auto"/>
        <w:left w:val="none" w:sz="0" w:space="0" w:color="auto"/>
        <w:bottom w:val="none" w:sz="0" w:space="0" w:color="auto"/>
        <w:right w:val="none" w:sz="0" w:space="0" w:color="auto"/>
      </w:divBdr>
    </w:div>
    <w:div w:id="1356075866">
      <w:bodyDiv w:val="1"/>
      <w:marLeft w:val="0"/>
      <w:marRight w:val="0"/>
      <w:marTop w:val="0"/>
      <w:marBottom w:val="0"/>
      <w:divBdr>
        <w:top w:val="none" w:sz="0" w:space="0" w:color="auto"/>
        <w:left w:val="none" w:sz="0" w:space="0" w:color="auto"/>
        <w:bottom w:val="none" w:sz="0" w:space="0" w:color="auto"/>
        <w:right w:val="none" w:sz="0" w:space="0" w:color="auto"/>
      </w:divBdr>
    </w:div>
    <w:div w:id="1752115920">
      <w:bodyDiv w:val="1"/>
      <w:marLeft w:val="0"/>
      <w:marRight w:val="0"/>
      <w:marTop w:val="0"/>
      <w:marBottom w:val="0"/>
      <w:divBdr>
        <w:top w:val="none" w:sz="0" w:space="0" w:color="auto"/>
        <w:left w:val="none" w:sz="0" w:space="0" w:color="auto"/>
        <w:bottom w:val="none" w:sz="0" w:space="0" w:color="auto"/>
        <w:right w:val="none" w:sz="0" w:space="0" w:color="auto"/>
      </w:divBdr>
    </w:div>
    <w:div w:id="1842546086">
      <w:bodyDiv w:val="1"/>
      <w:marLeft w:val="0"/>
      <w:marRight w:val="0"/>
      <w:marTop w:val="0"/>
      <w:marBottom w:val="0"/>
      <w:divBdr>
        <w:top w:val="none" w:sz="0" w:space="0" w:color="auto"/>
        <w:left w:val="none" w:sz="0" w:space="0" w:color="auto"/>
        <w:bottom w:val="none" w:sz="0" w:space="0" w:color="auto"/>
        <w:right w:val="none" w:sz="0" w:space="0" w:color="auto"/>
      </w:divBdr>
    </w:div>
    <w:div w:id="19310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Aarón Fallas Solano</cp:lastModifiedBy>
  <cp:revision>43</cp:revision>
  <dcterms:created xsi:type="dcterms:W3CDTF">2024-10-18T21:07:00Z</dcterms:created>
  <dcterms:modified xsi:type="dcterms:W3CDTF">2025-02-14T21:06:00Z</dcterms:modified>
</cp:coreProperties>
</file>